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9" w:rsidRPr="00C17C26" w:rsidRDefault="00F716B9" w:rsidP="00F716B9">
      <w:pPr>
        <w:spacing w:line="240" w:lineRule="auto"/>
        <w:jc w:val="right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F716B9" w:rsidRPr="00C17C26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F716B9" w:rsidRPr="00C17C26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F716B9" w:rsidRPr="00F716B9" w:rsidRDefault="00F716B9" w:rsidP="00F716B9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  <w:lang/>
        </w:rPr>
      </w:pPr>
      <w:r w:rsidRPr="00681DDB">
        <w:rPr>
          <w:rFonts w:asciiTheme="minorHAnsi" w:hAnsiTheme="minorHAnsi"/>
          <w:b/>
          <w:sz w:val="22"/>
          <w:szCs w:val="22"/>
          <w:lang w:val="sr-Cyrl-CS"/>
        </w:rPr>
        <w:t>Услуге организације и реализације Манифестације "Европска недеља мобилности - Дан без аутом</w:t>
      </w:r>
      <w:r>
        <w:rPr>
          <w:rFonts w:asciiTheme="minorHAnsi" w:hAnsiTheme="minorHAnsi"/>
          <w:b/>
          <w:sz w:val="22"/>
          <w:szCs w:val="22"/>
          <w:lang w:val="sr-Cyrl-CS"/>
        </w:rPr>
        <w:t>обила", јн 20</w:t>
      </w:r>
      <w:r>
        <w:rPr>
          <w:rFonts w:asciiTheme="minorHAnsi" w:hAnsiTheme="minorHAnsi"/>
          <w:b/>
          <w:sz w:val="22"/>
          <w:szCs w:val="22"/>
          <w:lang/>
        </w:rPr>
        <w:t>22</w:t>
      </w:r>
      <w:r w:rsidRPr="00681DDB">
        <w:rPr>
          <w:rFonts w:asciiTheme="minorHAnsi" w:hAnsiTheme="minorHAnsi"/>
          <w:b/>
          <w:sz w:val="22"/>
          <w:szCs w:val="22"/>
          <w:lang w:val="sr-Cyrl-CS"/>
        </w:rPr>
        <w:t>/</w:t>
      </w:r>
      <w:r>
        <w:rPr>
          <w:rFonts w:asciiTheme="minorHAnsi" w:hAnsiTheme="minorHAnsi"/>
          <w:b/>
          <w:sz w:val="22"/>
          <w:szCs w:val="22"/>
          <w:lang/>
        </w:rPr>
        <w:t>25</w:t>
      </w:r>
    </w:p>
    <w:p w:rsidR="00F716B9" w:rsidRPr="00C17C26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F716B9" w:rsidRPr="00C17C26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10837" w:type="dxa"/>
        <w:tblInd w:w="-743" w:type="dxa"/>
        <w:tblLayout w:type="fixed"/>
        <w:tblLook w:val="04A0"/>
      </w:tblPr>
      <w:tblGrid>
        <w:gridCol w:w="284"/>
        <w:gridCol w:w="3402"/>
        <w:gridCol w:w="1701"/>
        <w:gridCol w:w="1134"/>
        <w:gridCol w:w="1022"/>
        <w:gridCol w:w="992"/>
        <w:gridCol w:w="1168"/>
        <w:gridCol w:w="1134"/>
      </w:tblGrid>
      <w:tr w:rsidR="00F716B9" w:rsidRPr="00681DDB" w:rsidTr="00317476">
        <w:tc>
          <w:tcPr>
            <w:tcW w:w="284" w:type="dxa"/>
            <w:vAlign w:val="center"/>
          </w:tcPr>
          <w:p w:rsidR="00F716B9" w:rsidRPr="00C17C26" w:rsidRDefault="00F716B9" w:rsidP="00317476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F716B9" w:rsidRPr="00681DDB" w:rsidRDefault="00F716B9" w:rsidP="00317476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/>
                <w:color w:val="auto"/>
                <w:sz w:val="22"/>
                <w:szCs w:val="22"/>
              </w:rPr>
              <w:t>Опис</w:t>
            </w:r>
            <w:proofErr w:type="spellEnd"/>
          </w:p>
        </w:tc>
        <w:tc>
          <w:tcPr>
            <w:tcW w:w="1701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јединица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02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sz w:val="22"/>
                <w:szCs w:val="22"/>
                <w:lang w:val="sr-Cyrl-CS"/>
              </w:rPr>
              <w:t>јединична цена (рсд без ПДВ)</w:t>
            </w:r>
          </w:p>
        </w:tc>
        <w:tc>
          <w:tcPr>
            <w:tcW w:w="99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sz w:val="22"/>
                <w:szCs w:val="22"/>
                <w:lang w:val="sr-Cyrl-CS"/>
              </w:rPr>
              <w:t>јединична цена (рсд са ПДВ)</w:t>
            </w:r>
          </w:p>
        </w:tc>
        <w:tc>
          <w:tcPr>
            <w:tcW w:w="1168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укупно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рсд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без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ПДВ)</w:t>
            </w: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укупно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рсд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681DDB">
              <w:rPr>
                <w:rFonts w:asciiTheme="minorHAnsi" w:hAnsiTheme="minorHAnsi" w:cs="Arial"/>
                <w:sz w:val="22"/>
                <w:szCs w:val="22"/>
              </w:rPr>
              <w:t>са</w:t>
            </w:r>
            <w:proofErr w:type="spellEnd"/>
            <w:r w:rsidRPr="00681DDB">
              <w:rPr>
                <w:rFonts w:asciiTheme="minorHAnsi" w:hAnsiTheme="minorHAnsi" w:cs="Arial"/>
                <w:sz w:val="22"/>
                <w:szCs w:val="22"/>
              </w:rPr>
              <w:t xml:space="preserve"> ПДВ)</w:t>
            </w:r>
          </w:p>
        </w:tc>
      </w:tr>
      <w:tr w:rsidR="00F716B9" w:rsidRPr="00681DDB" w:rsidTr="00317476">
        <w:tc>
          <w:tcPr>
            <w:tcW w:w="284" w:type="dxa"/>
            <w:vAlign w:val="center"/>
          </w:tcPr>
          <w:p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1DDB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F716B9" w:rsidRPr="00C17C26" w:rsidRDefault="00F716B9" w:rsidP="00317476">
            <w:pPr>
              <w:shd w:val="clear" w:color="auto" w:fill="FFFFFF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Услуге 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анимације и интерактивних радионица за децу</w:t>
            </w:r>
            <w:r w:rsidRPr="00C17C26">
              <w:rPr>
                <w:rFonts w:asciiTheme="minorHAnsi" w:hAnsiTheme="minorHAnsi" w:cs="Arial"/>
                <w:b/>
                <w:sz w:val="22"/>
                <w:szCs w:val="22"/>
                <w:lang w:val="sr-Cyrl-CS"/>
              </w:rPr>
              <w:t xml:space="preserve"> 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sr-Cyrl-CS"/>
              </w:rPr>
              <w:t xml:space="preserve">учеснике Акције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паушал</w:t>
            </w: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2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:rsidTr="00317476">
        <w:trPr>
          <w:trHeight w:val="698"/>
        </w:trPr>
        <w:tc>
          <w:tcPr>
            <w:tcW w:w="284" w:type="dxa"/>
            <w:vAlign w:val="center"/>
          </w:tcPr>
          <w:p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1DDB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F716B9" w:rsidRPr="00C17C26" w:rsidRDefault="00F716B9" w:rsidP="00317476">
            <w:pPr>
              <w:shd w:val="clear" w:color="auto" w:fill="FFFFFF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Набавка негазиране воде за учеснике, </w:t>
            </w:r>
            <w:r w:rsidRPr="00C17C26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 пластичној амбалажи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C17C26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 xml:space="preserve">0,5л, 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>А</w:t>
            </w:r>
            <w:r w:rsidRPr="00C17C26">
              <w:rPr>
                <w:rFonts w:asciiTheme="minorHAnsi" w:hAnsiTheme="minorHAnsi" w:cs="Arial"/>
                <w:sz w:val="22"/>
                <w:szCs w:val="22"/>
              </w:rPr>
              <w:t>qua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C17C26">
              <w:rPr>
                <w:rFonts w:asciiTheme="minorHAnsi" w:hAnsiTheme="minorHAnsi" w:cs="Arial"/>
                <w:sz w:val="22"/>
                <w:szCs w:val="22"/>
              </w:rPr>
              <w:t>viva</w:t>
            </w:r>
            <w:r w:rsidRPr="00C17C26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или одговарајуће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F716B9" w:rsidRPr="00F716B9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/>
              </w:rPr>
              <w:t>70</w:t>
            </w:r>
          </w:p>
        </w:tc>
        <w:tc>
          <w:tcPr>
            <w:tcW w:w="102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C17C26" w:rsidTr="00317476">
        <w:trPr>
          <w:trHeight w:val="482"/>
        </w:trPr>
        <w:tc>
          <w:tcPr>
            <w:tcW w:w="284" w:type="dxa"/>
            <w:vMerge w:val="restart"/>
            <w:vAlign w:val="center"/>
          </w:tcPr>
          <w:p w:rsidR="00F716B9" w:rsidRPr="009027FE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10553" w:type="dxa"/>
            <w:gridSpan w:val="7"/>
            <w:vAlign w:val="center"/>
          </w:tcPr>
          <w:p w:rsidR="00F716B9" w:rsidRPr="00C17C26" w:rsidRDefault="00F716B9" w:rsidP="00317476">
            <w:pPr>
              <w:shd w:val="clear" w:color="auto" w:fill="FFFFFF"/>
              <w:spacing w:line="240" w:lineRule="auto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Набавка материјала за радионице у свему прем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а </w:t>
            </w:r>
          </w:p>
        </w:tc>
      </w:tr>
      <w:tr w:rsidR="00F716B9" w:rsidRPr="00681DDB" w:rsidTr="00317476">
        <w:trPr>
          <w:trHeight w:val="450"/>
        </w:trPr>
        <w:tc>
          <w:tcPr>
            <w:tcW w:w="284" w:type="dxa"/>
            <w:vMerge/>
            <w:vAlign w:val="center"/>
          </w:tcPr>
          <w:p w:rsidR="00F716B9" w:rsidRPr="00C17C26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F716B9" w:rsidRPr="00C17C26" w:rsidRDefault="00F716B9" w:rsidP="00317476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Воштане бојице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s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cool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или одговарајуће</w:t>
            </w:r>
          </w:p>
          <w:p w:rsidR="00F716B9" w:rsidRPr="00C17C26" w:rsidRDefault="00F716B9" w:rsidP="0031747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1/12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(бела, жута, наранџаста, црвена, розе, љубичаста, светло плава, тамно плава, светло зелена, тамно зелена, браон и црна)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F716B9">
              <w:rPr>
                <w:rFonts w:asciiTheme="minorHAnsi" w:hAnsiTheme="minorHAnsi"/>
                <w:sz w:val="22"/>
                <w:szCs w:val="22"/>
                <w:lang w:val="ru-RU"/>
              </w:rPr>
              <w:t>по Техничкој спецификацији</w:t>
            </w:r>
          </w:p>
        </w:tc>
        <w:tc>
          <w:tcPr>
            <w:tcW w:w="1701" w:type="dxa"/>
            <w:vAlign w:val="center"/>
          </w:tcPr>
          <w:p w:rsidR="00F716B9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02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:rsidTr="00317476">
        <w:trPr>
          <w:trHeight w:val="475"/>
        </w:trPr>
        <w:tc>
          <w:tcPr>
            <w:tcW w:w="284" w:type="dxa"/>
            <w:vMerge/>
            <w:vAlign w:val="center"/>
          </w:tcPr>
          <w:p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F716B9" w:rsidRPr="00C17C26" w:rsidRDefault="00F716B9" w:rsidP="0031747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Креде у боји, паковање</w:t>
            </w:r>
          </w:p>
          <w:p w:rsidR="00F716B9" w:rsidRPr="00C17C26" w:rsidRDefault="00F716B9" w:rsidP="00317476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C17C26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1/20 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(2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бела,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жута,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наранџаста,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црвена,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розе,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љубичаста,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плава,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зелена,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браон и 2 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црна)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:rsidR="00F716B9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02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:rsidTr="00317476">
        <w:trPr>
          <w:trHeight w:val="475"/>
        </w:trPr>
        <w:tc>
          <w:tcPr>
            <w:tcW w:w="284" w:type="dxa"/>
            <w:vMerge/>
            <w:vAlign w:val="center"/>
          </w:tcPr>
          <w:p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</w:tcPr>
          <w:p w:rsidR="00F716B9" w:rsidRPr="00C17C26" w:rsidRDefault="00F716B9" w:rsidP="00317476">
            <w:pPr>
              <w:rPr>
                <w:rFonts w:asciiTheme="minorHAnsi" w:hAnsiTheme="minorHAnsi"/>
                <w:sz w:val="22"/>
                <w:szCs w:val="22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Папир за цртање, димензије 240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x</w:t>
            </w: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340</w:t>
            </w:r>
            <w:r w:rsidRPr="00C17C26">
              <w:rPr>
                <w:rFonts w:asciiTheme="minorHAnsi" w:hAnsiTheme="minorHAnsi"/>
                <w:sz w:val="22"/>
                <w:szCs w:val="22"/>
              </w:rPr>
              <w:t>mm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:rsidR="00F716B9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2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:rsidTr="00317476">
        <w:trPr>
          <w:trHeight w:val="593"/>
        </w:trPr>
        <w:tc>
          <w:tcPr>
            <w:tcW w:w="284" w:type="dxa"/>
            <w:vAlign w:val="center"/>
          </w:tcPr>
          <w:p w:rsidR="00F716B9" w:rsidRPr="00681DDB" w:rsidRDefault="00F716B9" w:rsidP="00317476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681DDB">
              <w:rPr>
                <w:rFonts w:asciiTheme="minorHAnsi" w:hAnsi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716B9" w:rsidRPr="00C17C26" w:rsidRDefault="00F716B9" w:rsidP="00317476">
            <w:pPr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ru-RU"/>
              </w:rPr>
            </w:pPr>
            <w:r w:rsidRPr="00C17C26">
              <w:rPr>
                <w:rFonts w:asciiTheme="minorHAnsi" w:hAnsiTheme="minorHAnsi"/>
                <w:sz w:val="22"/>
                <w:szCs w:val="22"/>
                <w:lang w:val="ru-RU"/>
              </w:rPr>
              <w:t>Изнајмљивање кочије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по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Техничкој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спецификацији</w:t>
            </w:r>
            <w:proofErr w:type="spellEnd"/>
          </w:p>
        </w:tc>
        <w:tc>
          <w:tcPr>
            <w:tcW w:w="1701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2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F716B9" w:rsidRPr="00681DDB" w:rsidTr="00317476">
        <w:trPr>
          <w:trHeight w:val="495"/>
        </w:trPr>
        <w:tc>
          <w:tcPr>
            <w:tcW w:w="8535" w:type="dxa"/>
            <w:gridSpan w:val="6"/>
            <w:vAlign w:val="center"/>
          </w:tcPr>
          <w:p w:rsidR="00F716B9" w:rsidRPr="00681DDB" w:rsidRDefault="00F716B9" w:rsidP="00317476">
            <w:pPr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168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716B9" w:rsidRPr="00681DDB" w:rsidRDefault="00F716B9" w:rsidP="0031747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</w:tbl>
    <w:p w:rsidR="00F716B9" w:rsidRPr="00681DDB" w:rsidRDefault="00F716B9" w:rsidP="00F716B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F716B9" w:rsidRPr="00C17C26" w:rsidRDefault="00F716B9" w:rsidP="00F716B9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C17C26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F716B9" w:rsidRPr="00C17C26" w:rsidRDefault="00F716B9" w:rsidP="00F716B9">
      <w:pPr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F716B9" w:rsidRPr="00681DDB" w:rsidRDefault="00F716B9" w:rsidP="00F716B9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681DDB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681DDB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F716B9" w:rsidRPr="00681DDB" w:rsidRDefault="00F716B9" w:rsidP="00F716B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681DDB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5</w:t>
      </w: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јединична цена без ПДВ-а, за описани предмет набавке</w:t>
      </w:r>
    </w:p>
    <w:p w:rsidR="00F716B9" w:rsidRPr="00C17C26" w:rsidRDefault="00F716B9" w:rsidP="00F716B9">
      <w:pPr>
        <w:tabs>
          <w:tab w:val="left" w:pos="90"/>
        </w:tabs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(за ставку 2. као јединичну цену уписати цену за једну флашу од 0,5 л;</w:t>
      </w:r>
    </w:p>
    <w:p w:rsidR="00F716B9" w:rsidRPr="00681DDB" w:rsidRDefault="00F716B9" w:rsidP="00F716B9">
      <w:pPr>
        <w:tabs>
          <w:tab w:val="left" w:pos="90"/>
        </w:tabs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lastRenderedPageBreak/>
        <w:t>за ставку 3. као јединичну цену уписати укупну вредност целокупног материјала према захтеваној Техничкој специфиакцији);</w:t>
      </w:r>
    </w:p>
    <w:p w:rsidR="00F716B9" w:rsidRPr="00C17C26" w:rsidRDefault="00F716B9" w:rsidP="00F716B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681DDB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6</w:t>
      </w: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јединична цена са урачунатим ПДВ-ом, за описани предмет набавке;</w:t>
      </w:r>
    </w:p>
    <w:p w:rsidR="00F716B9" w:rsidRPr="00C17C26" w:rsidRDefault="00F716B9" w:rsidP="00F716B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колону 7. уписати укупну цену без ПДВ-а за описани предмет набавке, која се добија множењем јединичне цене (исказане у колони 5) и количине (исказане у колони 4);</w:t>
      </w:r>
    </w:p>
    <w:p w:rsidR="00F716B9" w:rsidRPr="00C17C26" w:rsidRDefault="00F716B9" w:rsidP="00F716B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C17C26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колону 8. уписати укупну цену са ПДВ-ом за описани предмет набавке, која се добија множењем јединичне цене (исказане у колони 6) и количине (исказане у колони 4);</w:t>
      </w: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F716B9" w:rsidRPr="00681DDB" w:rsidTr="00317476">
        <w:tc>
          <w:tcPr>
            <w:tcW w:w="3080" w:type="dxa"/>
            <w:shd w:val="clear" w:color="auto" w:fill="auto"/>
            <w:vAlign w:val="center"/>
          </w:tcPr>
          <w:p w:rsid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/>
              </w:rPr>
            </w:pPr>
          </w:p>
          <w:p w:rsid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/>
              </w:rPr>
            </w:pPr>
          </w:p>
          <w:p w:rsid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/>
              </w:rPr>
            </w:pPr>
          </w:p>
          <w:p w:rsid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/>
              </w:rPr>
            </w:pPr>
          </w:p>
          <w:p w:rsidR="00F716B9" w:rsidRPr="00F716B9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/>
              </w:rPr>
            </w:pPr>
          </w:p>
          <w:p w:rsidR="00F716B9" w:rsidRPr="00681DDB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</w:rPr>
              <w:t>Датум</w:t>
            </w:r>
            <w:proofErr w:type="spellEnd"/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716B9" w:rsidRPr="00681DDB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F716B9" w:rsidRPr="00681DDB" w:rsidRDefault="00F716B9" w:rsidP="00317476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proofErr w:type="spellStart"/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</w:rPr>
              <w:t>Потпис</w:t>
            </w:r>
            <w:proofErr w:type="spellEnd"/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81DDB">
              <w:rPr>
                <w:rFonts w:asciiTheme="minorHAnsi" w:hAnsiTheme="minorHAnsi" w:cs="Arial"/>
                <w:color w:val="auto"/>
                <w:sz w:val="22"/>
                <w:szCs w:val="22"/>
              </w:rPr>
              <w:t>понуђача</w:t>
            </w:r>
            <w:proofErr w:type="spellEnd"/>
          </w:p>
        </w:tc>
      </w:tr>
      <w:tr w:rsidR="00F716B9" w:rsidRPr="00681DDB" w:rsidTr="00317476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F716B9" w:rsidRPr="00681DDB" w:rsidRDefault="00F716B9" w:rsidP="00317476">
            <w:pPr>
              <w:pStyle w:val="BodyText2"/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068" w:type="dxa"/>
            <w:shd w:val="clear" w:color="auto" w:fill="auto"/>
          </w:tcPr>
          <w:p w:rsidR="00F716B9" w:rsidRPr="00681DDB" w:rsidRDefault="00F716B9" w:rsidP="00317476">
            <w:pPr>
              <w:pStyle w:val="BodyText2"/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F716B9" w:rsidRPr="00681DDB" w:rsidRDefault="00F716B9" w:rsidP="00317476">
            <w:pPr>
              <w:pStyle w:val="BodyText2"/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</w:tbl>
    <w:p w:rsidR="00F716B9" w:rsidRPr="00681DDB" w:rsidRDefault="00F716B9" w:rsidP="00F716B9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right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F716B9" w:rsidRPr="00681DDB" w:rsidRDefault="00F716B9" w:rsidP="00F716B9">
      <w:pPr>
        <w:suppressAutoHyphens w:val="0"/>
        <w:spacing w:line="240" w:lineRule="auto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0D7FE4" w:rsidRDefault="000D7FE4"/>
    <w:sectPr w:rsidR="000D7FE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16B9"/>
    <w:rsid w:val="000D7FE4"/>
    <w:rsid w:val="00167819"/>
    <w:rsid w:val="0023276A"/>
    <w:rsid w:val="002A4693"/>
    <w:rsid w:val="002D063D"/>
    <w:rsid w:val="003F3DAD"/>
    <w:rsid w:val="004C3458"/>
    <w:rsid w:val="004D0B56"/>
    <w:rsid w:val="009A1AB4"/>
    <w:rsid w:val="00A27A46"/>
    <w:rsid w:val="00EC147C"/>
    <w:rsid w:val="00F0287B"/>
    <w:rsid w:val="00F13544"/>
    <w:rsid w:val="00F716B9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B9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F716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6B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716B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F716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F716B9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dcterms:created xsi:type="dcterms:W3CDTF">2022-09-02T07:54:00Z</dcterms:created>
  <dcterms:modified xsi:type="dcterms:W3CDTF">2022-09-02T07:54:00Z</dcterms:modified>
</cp:coreProperties>
</file>