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F1A33" w:rsidRPr="001511CA" w:rsidRDefault="00E31CFC" w:rsidP="008F1A33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  <w:r w:rsidRPr="00E31CFC">
        <w:rPr>
          <w:rFonts w:asciiTheme="minorHAnsi" w:hAnsiTheme="minorHAnsi" w:cstheme="minorHAnsi"/>
          <w:b/>
          <w:sz w:val="22"/>
          <w:szCs w:val="22"/>
          <w:lang w:val="ru-RU"/>
        </w:rPr>
        <w:t>Извођење радова на инвестиционом одржавању и унапређењу својстава зграде на територији ГО Савски венац, ЈН 2021/3</w:t>
      </w:r>
    </w:p>
    <w:p w:rsidR="008F1A33" w:rsidRPr="00083D3C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083D3C" w:rsidRDefault="008F1A33" w:rsidP="008F1A33">
      <w:pPr>
        <w:spacing w:after="150"/>
        <w:rPr>
          <w:rFonts w:asciiTheme="minorHAnsi" w:hAnsiTheme="minorHAnsi"/>
          <w:sz w:val="22"/>
          <w:szCs w:val="22"/>
        </w:rPr>
      </w:pPr>
    </w:p>
    <w:p w:rsidR="00083D3C" w:rsidRPr="00083D3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083D3C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083D3C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083D3C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083D3C">
        <w:rPr>
          <w:rFonts w:asciiTheme="minorHAnsi" w:hAnsiTheme="minorHAnsi" w:cs="Arial"/>
          <w:sz w:val="22"/>
          <w:szCs w:val="22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Default="005A6FC0"/>
    <w:sectPr w:rsidR="005A6FC0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83D3C"/>
    <w:rsid w:val="001577B7"/>
    <w:rsid w:val="002445ED"/>
    <w:rsid w:val="00266878"/>
    <w:rsid w:val="004677BA"/>
    <w:rsid w:val="005A6FC0"/>
    <w:rsid w:val="005E29AE"/>
    <w:rsid w:val="007236E4"/>
    <w:rsid w:val="008F1A33"/>
    <w:rsid w:val="00AD15D9"/>
    <w:rsid w:val="00B16AB4"/>
    <w:rsid w:val="00B24FED"/>
    <w:rsid w:val="00B54C02"/>
    <w:rsid w:val="00B7471F"/>
    <w:rsid w:val="00B75483"/>
    <w:rsid w:val="00C3428F"/>
    <w:rsid w:val="00E31CFC"/>
    <w:rsid w:val="00E6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2</cp:revision>
  <dcterms:created xsi:type="dcterms:W3CDTF">2021-02-12T11:29:00Z</dcterms:created>
  <dcterms:modified xsi:type="dcterms:W3CDTF">2021-02-12T11:29:00Z</dcterms:modified>
</cp:coreProperties>
</file>