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6C00D5" w:rsidRDefault="006C00D5" w:rsidP="006C00D5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lang w:val="ru-RU"/>
        </w:rPr>
      </w:pPr>
      <w:r w:rsidRPr="001A7DF6">
        <w:rPr>
          <w:rFonts w:asciiTheme="minorHAnsi" w:hAnsiTheme="minorHAnsi" w:cs="Arial"/>
          <w:b/>
          <w:bCs/>
          <w:color w:val="auto"/>
          <w:lang w:val="ru-RU"/>
        </w:rPr>
        <w:t>Обавезно осигурања возила Г</w:t>
      </w:r>
      <w:r w:rsidRPr="008A1D97">
        <w:rPr>
          <w:rFonts w:asciiTheme="minorHAnsi" w:hAnsiTheme="minorHAnsi" w:cs="Arial"/>
          <w:b/>
          <w:bCs/>
          <w:color w:val="auto"/>
          <w:lang w:val="ru-RU"/>
        </w:rPr>
        <w:t>радске општине</w:t>
      </w:r>
      <w:r w:rsidRPr="001A7DF6">
        <w:rPr>
          <w:rFonts w:asciiTheme="minorHAnsi" w:hAnsiTheme="minorHAnsi" w:cs="Arial"/>
          <w:b/>
          <w:bCs/>
          <w:color w:val="auto"/>
          <w:lang w:val="ru-RU"/>
        </w:rPr>
        <w:t xml:space="preserve"> Савски венац од аутоодговорности</w:t>
      </w:r>
      <w:r>
        <w:rPr>
          <w:rFonts w:asciiTheme="minorHAnsi" w:hAnsiTheme="minorHAnsi" w:cs="Arial"/>
          <w:b/>
          <w:bCs/>
          <w:color w:val="auto"/>
          <w:lang w:val="ru-RU"/>
        </w:rPr>
        <w:t>,</w:t>
      </w:r>
    </w:p>
    <w:p w:rsidR="006C00D5" w:rsidRPr="008A1D97" w:rsidRDefault="006C00D5" w:rsidP="006C00D5">
      <w:pPr>
        <w:spacing w:line="240" w:lineRule="auto"/>
        <w:jc w:val="center"/>
        <w:rPr>
          <w:rFonts w:asciiTheme="minorHAnsi" w:hAnsiTheme="minorHAnsi" w:cs="Arial"/>
          <w:b/>
          <w:color w:val="auto"/>
          <w:lang w:val="ru-RU"/>
        </w:rPr>
      </w:pPr>
      <w:r w:rsidRPr="001A7DF6">
        <w:rPr>
          <w:rFonts w:asciiTheme="minorHAnsi" w:hAnsiTheme="minorHAnsi" w:cs="Arial"/>
          <w:b/>
          <w:bCs/>
          <w:color w:val="auto"/>
          <w:lang w:val="ru-RU"/>
        </w:rPr>
        <w:t xml:space="preserve"> ЈН 202</w:t>
      </w:r>
      <w:r w:rsidRPr="008A1D97">
        <w:rPr>
          <w:rFonts w:asciiTheme="minorHAnsi" w:hAnsiTheme="minorHAnsi" w:cs="Arial"/>
          <w:b/>
          <w:bCs/>
          <w:color w:val="auto"/>
          <w:lang w:val="ru-RU"/>
        </w:rPr>
        <w:t>1</w:t>
      </w:r>
      <w:r w:rsidRPr="001A7DF6">
        <w:rPr>
          <w:rFonts w:asciiTheme="minorHAnsi" w:hAnsiTheme="minorHAnsi" w:cs="Arial"/>
          <w:b/>
          <w:bCs/>
          <w:color w:val="auto"/>
          <w:lang w:val="ru-RU"/>
        </w:rPr>
        <w:t>/</w:t>
      </w:r>
      <w:r w:rsidRPr="008A1D97">
        <w:rPr>
          <w:rFonts w:asciiTheme="minorHAnsi" w:hAnsiTheme="minorHAnsi" w:cs="Arial"/>
          <w:b/>
          <w:bCs/>
          <w:color w:val="auto"/>
          <w:lang w:val="ru-RU"/>
        </w:rPr>
        <w:t>9</w:t>
      </w:r>
    </w:p>
    <w:p w:rsidR="008F1A33" w:rsidRPr="006C00D5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6A4641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202429"/>
    <w:rsid w:val="002445ED"/>
    <w:rsid w:val="00266878"/>
    <w:rsid w:val="00400B2D"/>
    <w:rsid w:val="004677BA"/>
    <w:rsid w:val="005A6FC0"/>
    <w:rsid w:val="005E29AE"/>
    <w:rsid w:val="006A4641"/>
    <w:rsid w:val="006C00D5"/>
    <w:rsid w:val="007236E4"/>
    <w:rsid w:val="00773D0B"/>
    <w:rsid w:val="008F1A33"/>
    <w:rsid w:val="009703C7"/>
    <w:rsid w:val="00AD15D9"/>
    <w:rsid w:val="00B16AB4"/>
    <w:rsid w:val="00B24FED"/>
    <w:rsid w:val="00B54C02"/>
    <w:rsid w:val="00B71312"/>
    <w:rsid w:val="00B7471F"/>
    <w:rsid w:val="00B75483"/>
    <w:rsid w:val="00C3428F"/>
    <w:rsid w:val="00CC6FEF"/>
    <w:rsid w:val="00D83F8B"/>
    <w:rsid w:val="00F25264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2021-05-25T13:06:00Z</dcterms:created>
  <dcterms:modified xsi:type="dcterms:W3CDTF">2021-05-25T13:06:00Z</dcterms:modified>
</cp:coreProperties>
</file>