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3" w:rsidRPr="00FE4D47" w:rsidRDefault="00A45373" w:rsidP="00FE4D4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E4D4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835CF3" w:rsidRPr="00FE4D47" w:rsidRDefault="00A15886" w:rsidP="00FE4D47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FE4D47">
        <w:rPr>
          <w:rFonts w:asciiTheme="minorHAnsi" w:hAnsiTheme="minorHAnsi"/>
          <w:b/>
          <w:sz w:val="22"/>
          <w:szCs w:val="22"/>
        </w:rPr>
        <w:t xml:space="preserve">Излети за суграђане од 55+ година, са територије ГО Савски венац, </w:t>
      </w:r>
      <w:r w:rsidRPr="00FE4D47">
        <w:rPr>
          <w:rFonts w:asciiTheme="minorHAnsi" w:hAnsiTheme="minorHAnsi"/>
          <w:b/>
          <w:sz w:val="22"/>
          <w:szCs w:val="22"/>
          <w:lang w:val="ru-RU"/>
        </w:rPr>
        <w:t>ЈН 20</w:t>
      </w:r>
      <w:r w:rsidRPr="00FE4D47">
        <w:rPr>
          <w:rFonts w:asciiTheme="minorHAnsi" w:hAnsiTheme="minorHAnsi"/>
          <w:b/>
          <w:sz w:val="22"/>
          <w:szCs w:val="22"/>
        </w:rPr>
        <w:t>23</w:t>
      </w:r>
      <w:r w:rsidRPr="00FE4D47">
        <w:rPr>
          <w:rFonts w:asciiTheme="minorHAnsi" w:hAnsiTheme="minorHAnsi"/>
          <w:b/>
          <w:sz w:val="22"/>
          <w:szCs w:val="22"/>
          <w:lang w:val="ru-RU"/>
        </w:rPr>
        <w:t>/</w:t>
      </w:r>
      <w:r w:rsidRPr="00FE4D47">
        <w:rPr>
          <w:rFonts w:asciiTheme="minorHAnsi" w:hAnsiTheme="minorHAnsi"/>
          <w:b/>
          <w:sz w:val="22"/>
          <w:szCs w:val="22"/>
        </w:rPr>
        <w:t>23</w:t>
      </w:r>
    </w:p>
    <w:p w:rsidR="00A45373" w:rsidRPr="00FE4D47" w:rsidRDefault="00A45373" w:rsidP="00FE4D4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5385" w:type="pct"/>
        <w:tblLook w:val="04A0"/>
      </w:tblPr>
      <w:tblGrid>
        <w:gridCol w:w="510"/>
        <w:gridCol w:w="5890"/>
        <w:gridCol w:w="2006"/>
        <w:gridCol w:w="1957"/>
      </w:tblGrid>
      <w:tr w:rsidR="00D92062" w:rsidRPr="00FE4D47" w:rsidTr="00A15886">
        <w:tc>
          <w:tcPr>
            <w:tcW w:w="246" w:type="pct"/>
            <w:vAlign w:val="center"/>
          </w:tcPr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Р. бр.</w:t>
            </w:r>
          </w:p>
        </w:tc>
        <w:tc>
          <w:tcPr>
            <w:tcW w:w="2842" w:type="pct"/>
            <w:vAlign w:val="center"/>
          </w:tcPr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ОПИС</w:t>
            </w:r>
          </w:p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FE4D47">
              <w:rPr>
                <w:rFonts w:asciiTheme="minorHAnsi" w:hAnsiTheme="minorHAnsi" w:cs="Arial"/>
                <w:sz w:val="22"/>
                <w:szCs w:val="22"/>
                <w:lang w:val="ru-RU"/>
              </w:rPr>
              <w:t>подаци о квалитету)</w:t>
            </w:r>
          </w:p>
        </w:tc>
        <w:tc>
          <w:tcPr>
            <w:tcW w:w="968" w:type="pct"/>
            <w:vAlign w:val="center"/>
          </w:tcPr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4D47">
              <w:rPr>
                <w:rFonts w:asciiTheme="minorHAnsi" w:hAnsiTheme="minorHAnsi"/>
                <w:sz w:val="22"/>
                <w:szCs w:val="22"/>
              </w:rPr>
              <w:t>Јединична цена за једног путника</w:t>
            </w:r>
          </w:p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4D47">
              <w:rPr>
                <w:rFonts w:asciiTheme="minorHAnsi" w:hAnsiTheme="minorHAnsi"/>
                <w:sz w:val="22"/>
                <w:szCs w:val="22"/>
              </w:rPr>
              <w:t>(рсд без пдв)</w:t>
            </w:r>
          </w:p>
        </w:tc>
        <w:tc>
          <w:tcPr>
            <w:tcW w:w="944" w:type="pct"/>
            <w:vAlign w:val="center"/>
          </w:tcPr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4D47">
              <w:rPr>
                <w:rFonts w:asciiTheme="minorHAnsi" w:hAnsiTheme="minorHAnsi"/>
                <w:sz w:val="22"/>
                <w:szCs w:val="22"/>
              </w:rPr>
              <w:t>Јединична цена за једног путника</w:t>
            </w:r>
          </w:p>
          <w:p w:rsidR="00D92062" w:rsidRPr="00FE4D47" w:rsidRDefault="00D92062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4D47">
              <w:rPr>
                <w:rFonts w:asciiTheme="minorHAnsi" w:hAnsiTheme="minorHAnsi"/>
                <w:sz w:val="22"/>
                <w:szCs w:val="22"/>
              </w:rPr>
              <w:t>(рсд са пдв)</w:t>
            </w:r>
          </w:p>
        </w:tc>
      </w:tr>
      <w:tr w:rsidR="00FE4D47" w:rsidRPr="00FE4D47" w:rsidTr="00A15886">
        <w:tc>
          <w:tcPr>
            <w:tcW w:w="246" w:type="pct"/>
            <w:vAlign w:val="center"/>
          </w:tcPr>
          <w:p w:rsidR="00FE4D47" w:rsidRPr="00FE4D47" w:rsidRDefault="00FE4D47" w:rsidP="00FE4D47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842" w:type="pct"/>
            <w:vAlign w:val="center"/>
          </w:tcPr>
          <w:p w:rsidR="00FE4D47" w:rsidRPr="00FE4D47" w:rsidRDefault="00FE4D47" w:rsidP="00FE4D47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Дестинација:  Београд – Троноша-Тршић-Бања Ковиљача-Београд</w:t>
            </w:r>
          </w:p>
          <w:p w:rsidR="00FE4D47" w:rsidRPr="00FE4D47" w:rsidRDefault="00FE4D47" w:rsidP="00FE4D4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Начин организације путовања:</w:t>
            </w: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једнодневни излет</w:t>
            </w:r>
          </w:p>
          <w:p w:rsidR="00FE4D47" w:rsidRPr="00FE4D47" w:rsidRDefault="00FE4D47" w:rsidP="00FE4D4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Превоз:</w:t>
            </w: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аутобуски - туристички аутобус </w:t>
            </w:r>
          </w:p>
          <w:p w:rsidR="00FE4D47" w:rsidRPr="00FE4D47" w:rsidRDefault="00FE4D47" w:rsidP="00FE4D4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Програм путовања:</w:t>
            </w:r>
          </w:p>
          <w:p w:rsidR="00FE4D47" w:rsidRPr="00FE4D47" w:rsidRDefault="00FE4D47" w:rsidP="00FE4D4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Полазак из Београда у унапред договорено време. Успутна задржавања ради одмора.Наставак пута према манастиру Троноша. Уз манастир се обилази и музеј Вуковог раног школовања. Наставак путовања према Тршићу, родном месту Вука Стефановића Караџића. Наставак путовања до Бање Ковиљаче, слободно време за шетњу бањским парком. </w:t>
            </w: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</w:rPr>
              <w:t>Након тока следи ручак са организованом музиком у ресторану у Бањи Ковиљачи, повратак у вечерњим часовима за Београд.</w:t>
            </w:r>
          </w:p>
          <w:p w:rsidR="00FE4D47" w:rsidRPr="00FE4D47" w:rsidRDefault="00FE4D47" w:rsidP="00FE4D4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Аранжман треба да обухвати: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Превоз модерним, високоподним туристичким аутобусом са аудио-видео опремом и климом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Ручак за целу групу у у хотелу у Бањи Ковиљачи 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путовања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Пратиоце групе у сваком аутобусу за време трајања путовања – стручан водич</w:t>
            </w:r>
          </w:p>
          <w:p w:rsidR="00FE4D47" w:rsidRPr="00FE4D47" w:rsidRDefault="00FE4D47" w:rsidP="00FE4D4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 xml:space="preserve">       Ланч пакет треба да садржи</w:t>
            </w: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: 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Сендвич, 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</w:rPr>
              <w:t>Вода по 2 (две) флашице 0,5л (газирана, негарзирана),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</w:rPr>
              <w:t>воће (поморанџа или јабука или банана),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4D47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:rsidR="00FE4D47" w:rsidRPr="00FE4D47" w:rsidRDefault="00FE4D47" w:rsidP="00FE4D47">
            <w:pPr>
              <w:spacing w:line="240" w:lineRule="auto"/>
              <w:ind w:left="284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b/>
                <w:sz w:val="22"/>
                <w:szCs w:val="22"/>
              </w:rPr>
              <w:t>РУЧАК</w:t>
            </w: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4D47">
              <w:rPr>
                <w:rFonts w:asciiTheme="minorHAnsi" w:hAnsiTheme="minorHAnsi" w:cstheme="minorHAnsi"/>
                <w:b/>
                <w:sz w:val="22"/>
                <w:szCs w:val="22"/>
              </w:rPr>
              <w:t>треба да садржи:</w:t>
            </w:r>
            <w:r w:rsidRPr="00FE4D4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>два пића добродошлице,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>чорба,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 xml:space="preserve">главно јело 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>салату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:rsidR="00FE4D47" w:rsidRPr="00FE4D47" w:rsidRDefault="00FE4D47" w:rsidP="00FE4D4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FE4D47">
              <w:rPr>
                <w:rFonts w:asciiTheme="minorHAnsi" w:hAnsiTheme="minorHAnsi" w:cstheme="minorHAnsi"/>
                <w:sz w:val="22"/>
                <w:szCs w:val="22"/>
              </w:rPr>
              <w:t>лепиња</w:t>
            </w:r>
          </w:p>
        </w:tc>
        <w:tc>
          <w:tcPr>
            <w:tcW w:w="968" w:type="pct"/>
            <w:vAlign w:val="center"/>
          </w:tcPr>
          <w:p w:rsidR="00FE4D47" w:rsidRPr="00FE4D47" w:rsidRDefault="00FE4D47" w:rsidP="00FE4D47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944" w:type="pct"/>
            <w:vAlign w:val="center"/>
          </w:tcPr>
          <w:p w:rsidR="00FE4D47" w:rsidRPr="00FE4D47" w:rsidRDefault="00FE4D47" w:rsidP="00FE4D47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</w:p>
        </w:tc>
      </w:tr>
    </w:tbl>
    <w:p w:rsidR="00A45373" w:rsidRPr="00FE4D47" w:rsidRDefault="00A45373" w:rsidP="00FE4D4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45373" w:rsidRPr="00FE4D47" w:rsidRDefault="00A45373" w:rsidP="00FE4D47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FE4D47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A45373" w:rsidRPr="00FE4D47" w:rsidRDefault="00A45373" w:rsidP="00FE4D47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A45373" w:rsidRPr="00FE4D47" w:rsidRDefault="00A45373" w:rsidP="00FE4D47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D92062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3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јединична цена без 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пдв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A15886" w:rsidRPr="00FE4D47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и 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опис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A15886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:rsidR="00E21DA0" w:rsidRPr="00FE4D47" w:rsidRDefault="00A45373" w:rsidP="00FE4D47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lastRenderedPageBreak/>
        <w:t xml:space="preserve">у колону </w:t>
      </w:r>
      <w:r w:rsidR="00D92062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4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са ПДВ-ом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A15886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опис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A15886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</w:t>
      </w:r>
    </w:p>
    <w:p w:rsidR="00A45373" w:rsidRPr="00FE4D47" w:rsidRDefault="00A45373" w:rsidP="00FE4D47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A45373" w:rsidRPr="00FE4D47" w:rsidRDefault="00A45373" w:rsidP="00FE4D47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4D4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Напомена: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Понуђена </w:t>
      </w:r>
      <w:r w:rsidR="00E21DA0"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цена </w:t>
      </w:r>
      <w:r w:rsidRPr="00FE4D47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обухвата </w:t>
      </w:r>
      <w:r w:rsidR="00E21DA0" w:rsidRPr="00FE4D47">
        <w:rPr>
          <w:rFonts w:asciiTheme="minorHAnsi" w:hAnsiTheme="minorHAnsi"/>
          <w:sz w:val="22"/>
          <w:szCs w:val="22"/>
        </w:rPr>
        <w:t>урачунате све зависне трошкове у свему према опису услуге.</w:t>
      </w:r>
    </w:p>
    <w:p w:rsidR="00AB382E" w:rsidRPr="00FE4D47" w:rsidRDefault="00A15886" w:rsidP="00FE4D47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FE4D47">
        <w:rPr>
          <w:rFonts w:asciiTheme="minorHAnsi" w:hAnsiTheme="minorHAnsi"/>
          <w:sz w:val="22"/>
          <w:szCs w:val="22"/>
        </w:rPr>
        <w:t>П</w:t>
      </w:r>
      <w:r w:rsidR="00AB382E" w:rsidRPr="00FE4D47">
        <w:rPr>
          <w:rFonts w:asciiTheme="minorHAnsi" w:hAnsiTheme="minorHAnsi"/>
          <w:sz w:val="22"/>
          <w:szCs w:val="22"/>
        </w:rPr>
        <w:t>онуђена цена служи искључиво за рангирање понуда. Оквирни споразум се закључује до износа процењене вредности набавке.</w:t>
      </w:r>
    </w:p>
    <w:sectPr w:rsidR="00AB382E" w:rsidRPr="00FE4D47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7232A"/>
    <w:rsid w:val="000828DA"/>
    <w:rsid w:val="000D7FE4"/>
    <w:rsid w:val="001135F6"/>
    <w:rsid w:val="00167819"/>
    <w:rsid w:val="0023276A"/>
    <w:rsid w:val="002A4693"/>
    <w:rsid w:val="002D063D"/>
    <w:rsid w:val="002D458C"/>
    <w:rsid w:val="003A16DF"/>
    <w:rsid w:val="003F3DAD"/>
    <w:rsid w:val="004B5441"/>
    <w:rsid w:val="004C3458"/>
    <w:rsid w:val="004D0B56"/>
    <w:rsid w:val="00504623"/>
    <w:rsid w:val="006E0616"/>
    <w:rsid w:val="007B3ED3"/>
    <w:rsid w:val="007B6D72"/>
    <w:rsid w:val="007F4D32"/>
    <w:rsid w:val="00835CF3"/>
    <w:rsid w:val="009450F1"/>
    <w:rsid w:val="00952B1A"/>
    <w:rsid w:val="009D0A6A"/>
    <w:rsid w:val="00A15886"/>
    <w:rsid w:val="00A27A46"/>
    <w:rsid w:val="00A34C64"/>
    <w:rsid w:val="00A42F43"/>
    <w:rsid w:val="00A45373"/>
    <w:rsid w:val="00AB382E"/>
    <w:rsid w:val="00D63E7A"/>
    <w:rsid w:val="00D6744E"/>
    <w:rsid w:val="00D80FFB"/>
    <w:rsid w:val="00D92062"/>
    <w:rsid w:val="00DD6A59"/>
    <w:rsid w:val="00E21DA0"/>
    <w:rsid w:val="00E578CB"/>
    <w:rsid w:val="00E9148F"/>
    <w:rsid w:val="00EC147C"/>
    <w:rsid w:val="00F0287B"/>
    <w:rsid w:val="00F13544"/>
    <w:rsid w:val="00FB405E"/>
    <w:rsid w:val="00FD41FD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6</cp:revision>
  <cp:lastPrinted>2022-06-06T11:02:00Z</cp:lastPrinted>
  <dcterms:created xsi:type="dcterms:W3CDTF">2023-04-10T11:39:00Z</dcterms:created>
  <dcterms:modified xsi:type="dcterms:W3CDTF">2023-09-15T11:47:00Z</dcterms:modified>
</cp:coreProperties>
</file>