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139C" w14:textId="77777777" w:rsidR="00200E7D" w:rsidRDefault="00200E7D" w:rsidP="00200E7D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4771">
        <w:rPr>
          <w:rFonts w:asciiTheme="minorHAnsi" w:hAnsiTheme="minorHAnsi" w:cstheme="minorHAnsi"/>
          <w:b/>
          <w:sz w:val="22"/>
          <w:szCs w:val="22"/>
          <w:lang w:val="sr-Cyrl-CS"/>
        </w:rPr>
        <w:t>Техничка спецификација</w:t>
      </w:r>
    </w:p>
    <w:p w14:paraId="28BD0809" w14:textId="6CEEDEF3" w:rsidR="00200E7D" w:rsidRPr="00F74771" w:rsidRDefault="00E50F9B" w:rsidP="00200E7D">
      <w:pPr>
        <w:spacing w:line="240" w:lineRule="auto"/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ru-RU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  <w:lang w:val="sr-Cyrl-RS"/>
        </w:rPr>
        <w:t>Уклањање објеката по решењима Одељења за инспекцијске послове, ЈН.2026/3</w:t>
      </w:r>
    </w:p>
    <w:tbl>
      <w:tblPr>
        <w:tblW w:w="4794" w:type="pct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5663"/>
        <w:gridCol w:w="49"/>
        <w:gridCol w:w="1281"/>
        <w:gridCol w:w="54"/>
        <w:gridCol w:w="97"/>
        <w:gridCol w:w="1252"/>
      </w:tblGrid>
      <w:tr w:rsidR="00200E7D" w:rsidRPr="00200E7D" w14:paraId="0E49F0E8" w14:textId="77777777" w:rsidTr="00E37867">
        <w:trPr>
          <w:gridBefore w:val="4"/>
          <w:gridAfter w:val="1"/>
          <w:wBefore w:w="4222" w:type="pct"/>
          <w:wAfter w:w="694" w:type="pct"/>
          <w:trHeight w:val="300"/>
        </w:trPr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1C3B" w14:textId="77777777" w:rsidR="00200E7D" w:rsidRPr="00F74771" w:rsidRDefault="00200E7D" w:rsidP="00E37867">
            <w:pPr>
              <w:spacing w:line="240" w:lineRule="auto"/>
              <w:ind w:firstLine="720"/>
              <w:rPr>
                <w:rFonts w:asciiTheme="minorHAnsi" w:hAnsiTheme="minorHAnsi" w:cstheme="minorHAnsi"/>
                <w:lang w:val="sr-Latn-CS" w:eastAsia="sr-Latn-CS"/>
              </w:rPr>
            </w:pPr>
          </w:p>
        </w:tc>
      </w:tr>
      <w:tr w:rsidR="00200E7D" w:rsidRPr="00F74771" w14:paraId="211A87AB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vAlign w:val="center"/>
          </w:tcPr>
          <w:p w14:paraId="45ABB64B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Бр. поз.</w:t>
            </w:r>
          </w:p>
        </w:tc>
        <w:tc>
          <w:tcPr>
            <w:tcW w:w="3140" w:type="pct"/>
            <w:vAlign w:val="center"/>
          </w:tcPr>
          <w:p w14:paraId="677D360F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Опис позиције</w:t>
            </w:r>
          </w:p>
        </w:tc>
        <w:tc>
          <w:tcPr>
            <w:tcW w:w="737" w:type="pct"/>
            <w:gridSpan w:val="2"/>
            <w:vAlign w:val="center"/>
          </w:tcPr>
          <w:p w14:paraId="498FBCFC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јед.мере</w:t>
            </w:r>
          </w:p>
        </w:tc>
        <w:tc>
          <w:tcPr>
            <w:tcW w:w="778" w:type="pct"/>
            <w:gridSpan w:val="3"/>
            <w:vAlign w:val="center"/>
          </w:tcPr>
          <w:p w14:paraId="54C855DC" w14:textId="2E920094" w:rsidR="00E50F9B" w:rsidRDefault="00E50F9B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оквирне</w:t>
            </w:r>
          </w:p>
          <w:p w14:paraId="2A51D9BA" w14:textId="0B0CC9D5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количин</w:t>
            </w:r>
            <w:r w:rsidR="00E50F9B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е</w:t>
            </w:r>
          </w:p>
        </w:tc>
      </w:tr>
      <w:tr w:rsidR="00200E7D" w:rsidRPr="00F74771" w14:paraId="5EAAD967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shd w:val="clear" w:color="auto" w:fill="DBE5F1" w:themeFill="accent1" w:themeFillTint="33"/>
          </w:tcPr>
          <w:p w14:paraId="11D36F75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655" w:type="pct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767A827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Latn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УПОТРЕБА РАДНЕ СНАГЕ</w:t>
            </w:r>
          </w:p>
        </w:tc>
      </w:tr>
      <w:tr w:rsidR="00200E7D" w:rsidRPr="00F74771" w14:paraId="5E00D164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</w:tcPr>
          <w:p w14:paraId="5B631A5C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1.1.</w:t>
            </w:r>
          </w:p>
        </w:tc>
        <w:tc>
          <w:tcPr>
            <w:tcW w:w="3140" w:type="pct"/>
          </w:tcPr>
          <w:p w14:paraId="03F72261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Руководилац екипе</w:t>
            </w:r>
          </w:p>
        </w:tc>
        <w:tc>
          <w:tcPr>
            <w:tcW w:w="737" w:type="pct"/>
            <w:gridSpan w:val="2"/>
            <w:vAlign w:val="center"/>
          </w:tcPr>
          <w:p w14:paraId="3AEE8661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tcBorders>
              <w:right w:val="single" w:sz="4" w:space="0" w:color="auto"/>
            </w:tcBorders>
            <w:vAlign w:val="center"/>
          </w:tcPr>
          <w:p w14:paraId="6BA61858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30</w:t>
            </w:r>
          </w:p>
        </w:tc>
      </w:tr>
      <w:tr w:rsidR="00200E7D" w:rsidRPr="00F74771" w14:paraId="15CF796C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</w:tcPr>
          <w:p w14:paraId="606DD90B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1.2.</w:t>
            </w:r>
          </w:p>
        </w:tc>
        <w:tc>
          <w:tcPr>
            <w:tcW w:w="3140" w:type="pct"/>
          </w:tcPr>
          <w:p w14:paraId="712C7487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ВКВ радник</w:t>
            </w:r>
          </w:p>
        </w:tc>
        <w:tc>
          <w:tcPr>
            <w:tcW w:w="737" w:type="pct"/>
            <w:gridSpan w:val="2"/>
            <w:vAlign w:val="center"/>
          </w:tcPr>
          <w:p w14:paraId="517F50B5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vAlign w:val="center"/>
          </w:tcPr>
          <w:p w14:paraId="1C481EBA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50</w:t>
            </w:r>
          </w:p>
        </w:tc>
      </w:tr>
      <w:tr w:rsidR="00200E7D" w:rsidRPr="00F74771" w14:paraId="277B23A6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</w:tcPr>
          <w:p w14:paraId="5371F262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1.3.</w:t>
            </w:r>
          </w:p>
        </w:tc>
        <w:tc>
          <w:tcPr>
            <w:tcW w:w="3140" w:type="pct"/>
          </w:tcPr>
          <w:p w14:paraId="556C84BF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КВ радник</w:t>
            </w:r>
          </w:p>
        </w:tc>
        <w:tc>
          <w:tcPr>
            <w:tcW w:w="737" w:type="pct"/>
            <w:gridSpan w:val="2"/>
            <w:vAlign w:val="center"/>
          </w:tcPr>
          <w:p w14:paraId="3F2D89D9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vAlign w:val="center"/>
          </w:tcPr>
          <w:p w14:paraId="510E2A57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50</w:t>
            </w:r>
          </w:p>
        </w:tc>
      </w:tr>
      <w:tr w:rsidR="00200E7D" w:rsidRPr="00F74771" w14:paraId="75C311C9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</w:tcPr>
          <w:p w14:paraId="3A135B31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1.4.</w:t>
            </w:r>
          </w:p>
        </w:tc>
        <w:tc>
          <w:tcPr>
            <w:tcW w:w="3140" w:type="pct"/>
          </w:tcPr>
          <w:p w14:paraId="139E3002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НКВ радник</w:t>
            </w:r>
          </w:p>
        </w:tc>
        <w:tc>
          <w:tcPr>
            <w:tcW w:w="737" w:type="pct"/>
            <w:gridSpan w:val="2"/>
            <w:vAlign w:val="center"/>
          </w:tcPr>
          <w:p w14:paraId="36A481F6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vAlign w:val="center"/>
          </w:tcPr>
          <w:p w14:paraId="601A8DE9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50</w:t>
            </w:r>
          </w:p>
        </w:tc>
      </w:tr>
      <w:tr w:rsidR="00200E7D" w:rsidRPr="00F74771" w14:paraId="02DCD4A7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</w:tcPr>
          <w:p w14:paraId="578E4CAC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1.5.</w:t>
            </w:r>
          </w:p>
        </w:tc>
        <w:tc>
          <w:tcPr>
            <w:tcW w:w="3140" w:type="pct"/>
          </w:tcPr>
          <w:p w14:paraId="092037AE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лпиниста</w:t>
            </w:r>
          </w:p>
        </w:tc>
        <w:tc>
          <w:tcPr>
            <w:tcW w:w="737" w:type="pct"/>
            <w:gridSpan w:val="2"/>
            <w:vAlign w:val="center"/>
          </w:tcPr>
          <w:p w14:paraId="3404D5D8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vAlign w:val="center"/>
          </w:tcPr>
          <w:p w14:paraId="388C8BD2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</w:t>
            </w:r>
          </w:p>
        </w:tc>
      </w:tr>
      <w:tr w:rsidR="00200E7D" w:rsidRPr="00F74771" w14:paraId="6D14E9DA" w14:textId="77777777" w:rsidTr="00E50F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345" w:type="pct"/>
          </w:tcPr>
          <w:p w14:paraId="6CD6CA94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4655" w:type="pct"/>
            <w:gridSpan w:val="6"/>
          </w:tcPr>
          <w:p w14:paraId="07268DA7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200E7D" w:rsidRPr="00200E7D" w14:paraId="6018C9EB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shd w:val="clear" w:color="auto" w:fill="C6D9F1" w:themeFill="text2" w:themeFillTint="33"/>
          </w:tcPr>
          <w:p w14:paraId="565C3426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655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497BA2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Latn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УПОТРЕБА МЕХАНИЗАЦИЈЕ, ВОЗИЛА И МАШИНА</w:t>
            </w:r>
          </w:p>
        </w:tc>
      </w:tr>
      <w:tr w:rsidR="00200E7D" w:rsidRPr="00F74771" w14:paraId="61661812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320734EF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2.1.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7244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Утоваривач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7272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4DC9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</w:tc>
      </w:tr>
      <w:tr w:rsidR="00200E7D" w:rsidRPr="00F74771" w14:paraId="683CA652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24B654B7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2.2.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2B9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Булдожер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634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A5B4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</w:tc>
      </w:tr>
      <w:tr w:rsidR="00200E7D" w:rsidRPr="00F74771" w14:paraId="7791D68F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79C594BB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2.3.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289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Камион 5-10 тона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B1F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CDCC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</w:t>
            </w:r>
          </w:p>
        </w:tc>
      </w:tr>
      <w:tr w:rsidR="00200E7D" w:rsidRPr="00F74771" w14:paraId="3D9FD057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30E128C8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2.4.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BCF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Камион за превоз радника, опреме и алата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528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4B05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</w:t>
            </w:r>
          </w:p>
        </w:tc>
      </w:tr>
      <w:tr w:rsidR="00200E7D" w:rsidRPr="00F74771" w14:paraId="534BE5EC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3708650F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2.5.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C6EA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Компресор </w:t>
            </w:r>
            <w:r w:rsidRPr="00F74771">
              <w:rPr>
                <w:rFonts w:asciiTheme="minorHAnsi" w:hAnsiTheme="minorHAnsi" w:cstheme="minorHAnsi"/>
                <w:i/>
                <w:sz w:val="22"/>
                <w:szCs w:val="22"/>
                <w:lang w:val="sr-Latn-CS"/>
              </w:rPr>
              <w:t>MAKITA</w:t>
            </w:r>
            <w:r w:rsidRPr="00F747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F74771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proofErr w:type="spellEnd"/>
            <w:r w:rsidRPr="00F747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F74771">
              <w:rPr>
                <w:rFonts w:asciiTheme="minorHAnsi" w:hAnsiTheme="minorHAnsi" w:cstheme="minorHAnsi"/>
                <w:i/>
                <w:sz w:val="22"/>
                <w:szCs w:val="22"/>
              </w:rPr>
              <w:t>одговарајуће</w:t>
            </w:r>
            <w:proofErr w:type="spellEnd"/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F05F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5E6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</w:p>
        </w:tc>
      </w:tr>
      <w:tr w:rsidR="00200E7D" w:rsidRPr="00F74771" w14:paraId="1A570810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21C05F82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2.6.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0B8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Агрегат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2286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35EF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</w:p>
        </w:tc>
      </w:tr>
      <w:tr w:rsidR="00200E7D" w:rsidRPr="00F74771" w14:paraId="1BD606EE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17DD196B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2.7.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BEA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Аутодизалица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62C5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357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</w:t>
            </w:r>
          </w:p>
        </w:tc>
      </w:tr>
      <w:tr w:rsidR="00200E7D" w:rsidRPr="00F74771" w14:paraId="163780EF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7CD4A662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2.8.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A36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Ровокопач-багер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FCA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EEBB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</w:t>
            </w:r>
          </w:p>
        </w:tc>
      </w:tr>
      <w:tr w:rsidR="00200E7D" w:rsidRPr="00F74771" w14:paraId="10DF26CB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6A5A142F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2.9.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43B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Нисконосећа приколица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7727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час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418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</w:p>
        </w:tc>
      </w:tr>
      <w:tr w:rsidR="00200E7D" w:rsidRPr="00F74771" w14:paraId="7F217E6B" w14:textId="77777777" w:rsidTr="00E50F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98"/>
        </w:trPr>
        <w:tc>
          <w:tcPr>
            <w:tcW w:w="345" w:type="pct"/>
            <w:tcBorders>
              <w:right w:val="single" w:sz="4" w:space="0" w:color="auto"/>
            </w:tcBorders>
          </w:tcPr>
          <w:p w14:paraId="5BDFE474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483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200E7D" w:rsidRPr="00200E7D" w14:paraId="7CE4BA96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2FBBDFD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B47B23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УКЛАЊАЊЕ КИОСАКА-ТЕЗГИ, ЛЕТЊИХ БАШТА И ПАНОА</w:t>
            </w:r>
          </w:p>
        </w:tc>
      </w:tr>
      <w:tr w:rsidR="00200E7D" w:rsidRPr="00F74771" w14:paraId="34B35E9E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6DD71AA1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3.1.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25B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Киоск и контејнер до 4м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E3D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1AA1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1F031AE5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60419BDA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3.2.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CD6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Киоск и контејнер од 4-8 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A422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96C0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2239E0A2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552B802F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3.3.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F5F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Киоск и контејнер преко 8м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8040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EEB1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4E8E3B3C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216B62A6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3.4.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BD5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Летња башта до 10м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6B1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65C0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1E14F877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41834763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3.5.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B97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Летња башта до 20м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7CC2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16D0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51FF9705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258CAAF9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3.6.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DFB6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Летња башта преко 20м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0703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B2EB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705BB22F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555176C1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3.7.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F15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Тезге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C1B8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8890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10030881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08CFA5EC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3.8.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121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Пано (реклама) до 10м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40C6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D834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1F9C1121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5F69E686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3.9.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7C37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Пано (реклама) преко 10м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4C82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AE2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497AE3ED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4149F0BC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3.10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3CA7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Жардињере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C322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1D8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5E5C70D8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0A86C761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3.11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444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color w:val="auto"/>
                <w:lang w:val="ru-RU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Лежарина за тезге</w:t>
            </w: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 xml:space="preserve"> за заузеће по једном </w:t>
            </w: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</w:t>
            </w: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0F1A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дан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2F96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</w:p>
        </w:tc>
      </w:tr>
      <w:tr w:rsidR="00200E7D" w:rsidRPr="00F74771" w14:paraId="504B3BD0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1B620921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3.12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7BB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Лежарина за киоске </w:t>
            </w: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 xml:space="preserve">за заузеће по једном </w:t>
            </w: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</w:t>
            </w: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7203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дан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5F5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</w:p>
        </w:tc>
      </w:tr>
      <w:tr w:rsidR="00200E7D" w:rsidRPr="00F74771" w14:paraId="44D6ED5F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71428329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3.13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AB9D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Лежарина за ствари </w:t>
            </w: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 xml:space="preserve">за заузеће по једном </w:t>
            </w: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</w:t>
            </w: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7949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дан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916D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F747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</w:p>
        </w:tc>
      </w:tr>
      <w:tr w:rsidR="00200E7D" w:rsidRPr="00F74771" w14:paraId="6445D79C" w14:textId="77777777" w:rsidTr="00E50F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345" w:type="pct"/>
            <w:tcBorders>
              <w:right w:val="single" w:sz="4" w:space="0" w:color="auto"/>
            </w:tcBorders>
          </w:tcPr>
          <w:p w14:paraId="045D2923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CC1B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200E7D" w:rsidRPr="00F74771" w14:paraId="666B3217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66D7787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8F598D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РАДОВИ НА УРЕЂЕЊУ ТЕРЕНА</w:t>
            </w:r>
          </w:p>
        </w:tc>
      </w:tr>
      <w:tr w:rsidR="00200E7D" w:rsidRPr="00F74771" w14:paraId="5898493D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396D7B37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4.1.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52C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Одвоз шута и другог материјала на депонију преко 10км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ACE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3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982A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</w:tc>
      </w:tr>
      <w:tr w:rsidR="00200E7D" w:rsidRPr="00F74771" w14:paraId="74EB3EF1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653E9C06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4.2.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D7A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Утовар и одвоз смећа на градску депонију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F5C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3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6E52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100</w:t>
            </w:r>
          </w:p>
        </w:tc>
      </w:tr>
      <w:tr w:rsidR="00200E7D" w:rsidRPr="00F74771" w14:paraId="5D6783CB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7FDA86D4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4.3.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6C7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Ископ земље са позајмишта и превоз на место насипања. 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D28F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91F1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</w:tc>
      </w:tr>
      <w:tr w:rsidR="00200E7D" w:rsidRPr="00F74771" w14:paraId="0D3CE549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6737FA41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4.4.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4F3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Планирање терена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495A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CAD3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50</w:t>
            </w:r>
          </w:p>
        </w:tc>
      </w:tr>
      <w:tr w:rsidR="00200E7D" w:rsidRPr="00F74771" w14:paraId="6A1D774C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7434D2E5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FEE" w14:textId="77777777" w:rsidR="00E50F9B" w:rsidRPr="00F74771" w:rsidRDefault="00E50F9B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200E7D" w:rsidRPr="00200E7D" w14:paraId="5E6BB81A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77696A6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7E1154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УКЛАЊАЊЕ ГРАФИТА СА ФАСАДА( школе,вртићи,објекти ГО Савски венац)</w:t>
            </w:r>
          </w:p>
        </w:tc>
      </w:tr>
      <w:tr w:rsidR="00200E7D" w:rsidRPr="00F74771" w14:paraId="5400C3D9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6582AF8F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5.1.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34A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Прање-пескирање фасада од природног и вештачког камена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EC4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B9B9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50</w:t>
            </w:r>
          </w:p>
        </w:tc>
      </w:tr>
      <w:tr w:rsidR="00200E7D" w:rsidRPr="00F74771" w14:paraId="62C7555A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3C664D46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5.2.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06B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Фарбање графита на малтерисаној фасади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F87B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</w:t>
            </w:r>
            <w:r w:rsidRPr="00F7477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CS"/>
              </w:rPr>
              <w:t>2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7D5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</w:t>
            </w:r>
          </w:p>
        </w:tc>
      </w:tr>
      <w:tr w:rsidR="00200E7D" w:rsidRPr="00F74771" w14:paraId="172C6F4C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42248C5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4E76B3" w14:textId="77777777" w:rsidR="00200E7D" w:rsidRPr="00F74771" w:rsidRDefault="00200E7D" w:rsidP="00E3786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УКЛАЊАЊЕ ВОЗИЛА</w:t>
            </w:r>
          </w:p>
        </w:tc>
      </w:tr>
      <w:tr w:rsidR="00200E7D" w:rsidRPr="00F74771" w14:paraId="29FB8D35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1EB667EB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6.1.</w:t>
            </w:r>
          </w:p>
        </w:tc>
        <w:tc>
          <w:tcPr>
            <w:tcW w:w="3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A6B" w14:textId="77777777" w:rsidR="00200E7D" w:rsidRPr="00F74771" w:rsidRDefault="00200E7D" w:rsidP="00E3786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Уклањање возила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F9E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6495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</w:tr>
      <w:tr w:rsidR="00200E7D" w:rsidRPr="00F74771" w14:paraId="29209B91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3265055E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6.2.</w:t>
            </w:r>
          </w:p>
        </w:tc>
        <w:tc>
          <w:tcPr>
            <w:tcW w:w="3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BC31" w14:textId="77777777" w:rsidR="00200E7D" w:rsidRPr="00F74771" w:rsidRDefault="00200E7D" w:rsidP="00E3786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F7477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лежарина возила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83DC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дан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6383" w14:textId="77777777" w:rsidR="00200E7D" w:rsidRPr="00F74771" w:rsidRDefault="00200E7D" w:rsidP="00E3786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E50F9B" w:rsidRPr="00F74771" w14:paraId="079DB677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</w:tcPr>
          <w:p w14:paraId="148BF165" w14:textId="273F59DB" w:rsidR="00E50F9B" w:rsidRPr="00F74771" w:rsidRDefault="00E50F9B" w:rsidP="00E3786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6.3.</w:t>
            </w:r>
          </w:p>
        </w:tc>
        <w:tc>
          <w:tcPr>
            <w:tcW w:w="3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5E5F" w14:textId="18756CD9" w:rsidR="00E50F9B" w:rsidRPr="00F74771" w:rsidRDefault="00E50F9B" w:rsidP="00E3786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Уклањање запреке за возила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4292" w14:textId="59CFB5EF" w:rsidR="00E50F9B" w:rsidRPr="00F74771" w:rsidRDefault="00E50F9B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F7477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FA3" w14:textId="10838299" w:rsidR="00E50F9B" w:rsidRPr="00E50F9B" w:rsidRDefault="00E50F9B" w:rsidP="00E3786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</w:t>
            </w:r>
          </w:p>
        </w:tc>
      </w:tr>
      <w:tr w:rsidR="00200E7D" w:rsidRPr="00F74771" w14:paraId="3C80287A" w14:textId="77777777" w:rsidTr="00E37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345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2FCD0A2" w14:textId="77777777" w:rsidR="00200E7D" w:rsidRPr="00F74771" w:rsidRDefault="00200E7D" w:rsidP="00E37867">
            <w:pPr>
              <w:spacing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3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CB138" w14:textId="77777777" w:rsidR="00200E7D" w:rsidRPr="00F74771" w:rsidRDefault="00200E7D" w:rsidP="00E3786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876712" w14:textId="77777777" w:rsidR="00200E7D" w:rsidRPr="00F74771" w:rsidRDefault="00200E7D" w:rsidP="00E3786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89DA15" w14:textId="77777777" w:rsidR="00200E7D" w:rsidRPr="00F74771" w:rsidRDefault="00200E7D" w:rsidP="00E3786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</w:tbl>
    <w:p w14:paraId="1B9DA9CA" w14:textId="77777777" w:rsidR="00200E7D" w:rsidRPr="00F74771" w:rsidRDefault="00200E7D" w:rsidP="00200E7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0A875937" w14:textId="77777777" w:rsidR="00200E7D" w:rsidRPr="00F74771" w:rsidRDefault="00200E7D" w:rsidP="00200E7D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74771"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  <w:t xml:space="preserve">Напомена: </w:t>
      </w:r>
      <w:r w:rsidRPr="00F74771">
        <w:rPr>
          <w:rFonts w:asciiTheme="minorHAnsi" w:hAnsiTheme="minorHAnsi" w:cstheme="minorHAnsi"/>
          <w:sz w:val="22"/>
          <w:szCs w:val="22"/>
          <w:lang w:val="sr-Cyrl-CS"/>
        </w:rPr>
        <w:t xml:space="preserve">све количине су оквирне, а прецизне количине, као и време трајања извршења и место извршења се одређује појединачним уговором у складу са </w:t>
      </w:r>
      <w:r w:rsidRPr="00E50F9B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Решењем комуналног инспектора</w:t>
      </w:r>
      <w:r w:rsidRPr="00F74771">
        <w:rPr>
          <w:rFonts w:asciiTheme="minorHAnsi" w:hAnsiTheme="minorHAnsi" w:cstheme="minorHAnsi"/>
          <w:sz w:val="22"/>
          <w:szCs w:val="22"/>
          <w:lang w:val="sr-Cyrl-CS"/>
        </w:rPr>
        <w:t xml:space="preserve"> и Понудом изабраног понуђача за закључење појединачног уговора.</w:t>
      </w:r>
    </w:p>
    <w:p w14:paraId="05765A9E" w14:textId="77777777" w:rsidR="00200E7D" w:rsidRPr="00F74771" w:rsidRDefault="00200E7D" w:rsidP="00200E7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</w:pPr>
    </w:p>
    <w:p w14:paraId="287F0564" w14:textId="77777777" w:rsidR="00200E7D" w:rsidRPr="00F74771" w:rsidRDefault="00200E7D" w:rsidP="00200E7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ru-RU"/>
        </w:rPr>
      </w:pPr>
      <w:r w:rsidRPr="00F74771"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  <w:t>Квалитет услуга</w:t>
      </w:r>
    </w:p>
    <w:p w14:paraId="2BFE8454" w14:textId="77777777" w:rsidR="00200E7D" w:rsidRPr="00F74771" w:rsidRDefault="00200E7D" w:rsidP="00200E7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74771">
        <w:rPr>
          <w:rFonts w:asciiTheme="minorHAnsi" w:hAnsiTheme="minorHAnsi" w:cstheme="minorHAnsi"/>
          <w:sz w:val="22"/>
          <w:szCs w:val="22"/>
          <w:lang w:val="ru-RU"/>
        </w:rPr>
        <w:t>Код свих услуга условљава се извршење  у складу са правоснажним Решењем комуналног инспектора којим се утврђују позиције уклањања, уз  претходно дату понуду онога са којим ће бити закључен појединачни уговор</w:t>
      </w:r>
      <w:r w:rsidRPr="00F74771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  са употребом  одговарајуће механизације и стручне радне снаге у складу са условима набавке, на начин да се не омета јавни, комунални  ред  и саобраћај како је дефинисано  позитивним прописима из ове области, као и услуга одвожење комуналног отпада </w:t>
      </w:r>
      <w:r w:rsidRPr="00F74771">
        <w:rPr>
          <w:rFonts w:asciiTheme="minorHAnsi" w:hAnsiTheme="minorHAnsi" w:cstheme="minorHAnsi"/>
          <w:sz w:val="22"/>
          <w:szCs w:val="22"/>
          <w:lang w:val="sr-Cyrl-CS"/>
        </w:rPr>
        <w:t>на депонију коју обезбеђује лице са којим буде закључен појединачни уговор.</w:t>
      </w:r>
    </w:p>
    <w:p w14:paraId="5E274A6E" w14:textId="77777777" w:rsidR="00200E7D" w:rsidRPr="00F74771" w:rsidRDefault="00200E7D" w:rsidP="00200E7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Механизација мора бити </w:t>
      </w:r>
      <w:r w:rsidRPr="00F74771">
        <w:rPr>
          <w:rFonts w:asciiTheme="minorHAnsi" w:hAnsiTheme="minorHAnsi" w:cstheme="minorHAnsi"/>
          <w:sz w:val="22"/>
          <w:szCs w:val="22"/>
          <w:lang w:val="sr-Cyrl-CS"/>
        </w:rPr>
        <w:t>квалитета и</w:t>
      </w: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 врсте</w:t>
      </w:r>
      <w:r w:rsidRPr="00F74771">
        <w:rPr>
          <w:rFonts w:asciiTheme="minorHAnsi" w:hAnsiTheme="minorHAnsi" w:cstheme="minorHAnsi"/>
          <w:sz w:val="22"/>
          <w:szCs w:val="22"/>
          <w:lang w:val="sr-Cyrl-CS"/>
        </w:rPr>
        <w:t xml:space="preserve"> предвиђене техничком спецификацијом</w:t>
      </w: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, што током трајања оквирног споразума контролише лице запослено код Наручиоца, задужено за праћење реализације уговора  и предузима  одговарајуће мере у складу са тим.  </w:t>
      </w:r>
    </w:p>
    <w:p w14:paraId="245F357B" w14:textId="289FD5B4" w:rsidR="00200E7D" w:rsidRPr="00F74771" w:rsidRDefault="00200E7D" w:rsidP="00200E7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Уколико </w:t>
      </w:r>
      <w:r w:rsidR="00905A7F">
        <w:rPr>
          <w:rFonts w:asciiTheme="minorHAnsi" w:hAnsiTheme="minorHAnsi" w:cstheme="minorHAnsi"/>
          <w:sz w:val="22"/>
          <w:szCs w:val="22"/>
          <w:lang w:val="ru-RU"/>
        </w:rPr>
        <w:t xml:space="preserve">Понуђач </w:t>
      </w: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 са којим ће бити закључен појединачни уговор не поштује предвиђене мере  и услове ради постизања квалитета, лице задужено од стране Наручиоца има право да обустави  извршење услуге, а сви трошкови проистекли из обуставе падају на терет </w:t>
      </w:r>
      <w:r w:rsidR="00905A7F">
        <w:rPr>
          <w:rFonts w:asciiTheme="minorHAnsi" w:hAnsiTheme="minorHAnsi" w:cstheme="minorHAnsi"/>
          <w:sz w:val="22"/>
          <w:szCs w:val="22"/>
          <w:lang w:val="ru-RU"/>
        </w:rPr>
        <w:t xml:space="preserve">Понузђача </w:t>
      </w: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 са којим ће бити закључен уговор.</w:t>
      </w:r>
    </w:p>
    <w:p w14:paraId="73936927" w14:textId="3B37F80F" w:rsidR="00200E7D" w:rsidRPr="00F74771" w:rsidRDefault="00200E7D" w:rsidP="00200E7D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74771">
        <w:rPr>
          <w:rFonts w:asciiTheme="minorHAnsi" w:hAnsiTheme="minorHAnsi" w:cstheme="minorHAnsi"/>
          <w:sz w:val="22"/>
          <w:szCs w:val="22"/>
          <w:lang w:val="ru-RU"/>
        </w:rPr>
        <w:t>Конкурсном документацијом се условљава ангажовање радне</w:t>
      </w:r>
      <w:r w:rsidRPr="00F74771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снаге, на закону прописаном начину, одговарајуће стручне квалификације.  </w:t>
      </w:r>
    </w:p>
    <w:p w14:paraId="7935E338" w14:textId="77777777" w:rsidR="00200E7D" w:rsidRPr="00F74771" w:rsidRDefault="00200E7D" w:rsidP="00200E7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ru-RU"/>
        </w:rPr>
      </w:pPr>
    </w:p>
    <w:p w14:paraId="235AC478" w14:textId="6C296194" w:rsidR="00200E7D" w:rsidRPr="00F74771" w:rsidRDefault="00200E7D" w:rsidP="00200E7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74771">
        <w:rPr>
          <w:rFonts w:asciiTheme="minorHAnsi" w:hAnsiTheme="minorHAnsi" w:cstheme="minorHAnsi"/>
          <w:sz w:val="22"/>
          <w:szCs w:val="22"/>
          <w:lang w:val="ru-RU"/>
        </w:rPr>
        <w:t>Понуђач са којим се закључи Оквирни споразум, односно касније појединачни уговор, дужан је да Предметну услугу извршу уз претходно дату Понуду</w:t>
      </w:r>
      <w:r w:rsidR="00905A7F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74771">
        <w:rPr>
          <w:rFonts w:asciiTheme="minorHAnsi" w:hAnsiTheme="minorHAnsi" w:cstheme="minorHAnsi"/>
          <w:sz w:val="22"/>
          <w:szCs w:val="22"/>
          <w:lang w:val="sr-Cyrl-CS"/>
        </w:rPr>
        <w:t xml:space="preserve">која се заснива на јединичним ценама из Обрасца структуре цена које се утврђују овим Оквирним споразумом, </w:t>
      </w: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са употребом механизације и стручне радне снаге у складу са условима предметне набавке и </w:t>
      </w:r>
      <w:r w:rsidRPr="00905A7F">
        <w:rPr>
          <w:rFonts w:asciiTheme="minorHAnsi" w:hAnsiTheme="minorHAnsi" w:cstheme="minorHAnsi"/>
          <w:b/>
          <w:bCs/>
          <w:i/>
          <w:iCs/>
          <w:sz w:val="22"/>
          <w:szCs w:val="22"/>
          <w:lang w:val="ru-RU"/>
        </w:rPr>
        <w:t>у складу са правоснажним Решењем комуналног инспектора</w:t>
      </w:r>
      <w:r w:rsidRPr="00F74771">
        <w:rPr>
          <w:rFonts w:asciiTheme="minorHAnsi" w:hAnsiTheme="minorHAnsi" w:cstheme="minorHAnsi"/>
          <w:sz w:val="22"/>
          <w:szCs w:val="22"/>
          <w:lang w:val="ru-RU"/>
        </w:rPr>
        <w:t>, којим се утврђују позиције уклањања, на начин да се не омета јавни, комунални ред и саобраћај како је дефинисано позитивним прописима.</w:t>
      </w:r>
    </w:p>
    <w:p w14:paraId="6C300370" w14:textId="77777777" w:rsidR="00200E7D" w:rsidRPr="00F74771" w:rsidRDefault="00200E7D" w:rsidP="00200E7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0900C359" w14:textId="4AB18712" w:rsidR="00200E7D" w:rsidRPr="00F74771" w:rsidRDefault="00200E7D" w:rsidP="00200E7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Контролу извршене услуге врши лице запослено код Наручиоца, задужено </w:t>
      </w:r>
      <w:r w:rsidR="004B4906">
        <w:rPr>
          <w:rFonts w:asciiTheme="minorHAnsi" w:hAnsiTheme="minorHAnsi" w:cstheme="minorHAnsi"/>
          <w:sz w:val="22"/>
          <w:szCs w:val="22"/>
          <w:lang w:val="ru-RU"/>
        </w:rPr>
        <w:t xml:space="preserve">Решењем Председника </w:t>
      </w:r>
      <w:r w:rsidRPr="00F74771">
        <w:rPr>
          <w:rFonts w:asciiTheme="minorHAnsi" w:hAnsiTheme="minorHAnsi" w:cstheme="minorHAnsi"/>
          <w:sz w:val="22"/>
          <w:szCs w:val="22"/>
          <w:lang w:val="ru-RU"/>
        </w:rPr>
        <w:t xml:space="preserve">за праћење реализације Оквирног споразума, односно појединачног уговора и предузима одговарајуће мере у складу са тим. </w:t>
      </w:r>
    </w:p>
    <w:p w14:paraId="7D52D0EB" w14:textId="77777777" w:rsidR="000D7FE4" w:rsidRPr="00200E7D" w:rsidRDefault="000D7FE4">
      <w:pPr>
        <w:rPr>
          <w:lang w:val="ru-RU"/>
        </w:rPr>
      </w:pPr>
    </w:p>
    <w:sectPr w:rsidR="000D7FE4" w:rsidRPr="00200E7D" w:rsidSect="000D7F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7D"/>
    <w:rsid w:val="000D7FE4"/>
    <w:rsid w:val="00166E25"/>
    <w:rsid w:val="00167819"/>
    <w:rsid w:val="00200E7D"/>
    <w:rsid w:val="0023276A"/>
    <w:rsid w:val="00291795"/>
    <w:rsid w:val="002A4693"/>
    <w:rsid w:val="002D063D"/>
    <w:rsid w:val="003F3DAD"/>
    <w:rsid w:val="004B4906"/>
    <w:rsid w:val="004C3458"/>
    <w:rsid w:val="004D0B56"/>
    <w:rsid w:val="00905A7F"/>
    <w:rsid w:val="00A27A46"/>
    <w:rsid w:val="00E50F9B"/>
    <w:rsid w:val="00EC147C"/>
    <w:rsid w:val="00F0287B"/>
    <w:rsid w:val="00F13544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7A1F"/>
  <w15:docId w15:val="{7ED33F5E-D304-441A-88CB-BBF40FC1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E7D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uppressAutoHyphens w:val="0"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uppressAutoHyphens w:val="0"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uppressAutoHyphens w:val="0"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uppressAutoHyphens w:val="0"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suppressAutoHyphens w:val="0"/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2</cp:revision>
  <dcterms:created xsi:type="dcterms:W3CDTF">2026-02-10T11:07:00Z</dcterms:created>
  <dcterms:modified xsi:type="dcterms:W3CDTF">2026-02-10T11:07:00Z</dcterms:modified>
</cp:coreProperties>
</file>